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6E" w:rsidRDefault="006E4C7B">
      <w:pPr>
        <w:spacing w:after="120"/>
      </w:pPr>
      <w:r>
        <w:rPr>
          <w:rFonts w:ascii="Arial" w:hAnsi="Arial"/>
          <w:b/>
          <w:color w:val="830207"/>
          <w:sz w:val="20"/>
        </w:rPr>
        <w:t>Consultation de l'avis à publier</w:t>
      </w:r>
    </w:p>
    <w:p w:rsidR="0085636E" w:rsidRDefault="006E4C7B">
      <w:pPr>
        <w:spacing w:after="0"/>
        <w:jc w:val="center"/>
      </w:pPr>
      <w:r>
        <w:rPr>
          <w:rFonts w:ascii="Arial" w:hAnsi="Arial"/>
          <w:color w:val="5A5A5A"/>
          <w:sz w:val="16"/>
        </w:rPr>
        <w:t>Attention, Cet aperçu ne reflète que votre saisie.</w:t>
      </w:r>
    </w:p>
    <w:p w:rsidR="0085636E" w:rsidRDefault="006E4C7B">
      <w:pPr>
        <w:spacing w:after="0"/>
        <w:jc w:val="center"/>
      </w:pPr>
      <w:r>
        <w:rPr>
          <w:rFonts w:ascii="Arial" w:hAnsi="Arial"/>
          <w:color w:val="5A5A5A"/>
          <w:sz w:val="16"/>
        </w:rPr>
        <w:t>Le service éditeur destinataire se réserve la possibilité de remettre en forme l'annonce définitive en fonction des impératifs d'édition.</w:t>
      </w:r>
    </w:p>
    <w:p w:rsidR="0085636E" w:rsidRDefault="006E4C7B">
      <w:r>
        <w:pict>
          <v:rect id="_x0000_i1025" style="width:0;height:1.5pt" o:hralign="center" o:hrstd="t" o:hr="t" fillcolor="#a0a0a0" stroked="f"/>
        </w:pict>
      </w:r>
    </w:p>
    <w:p w:rsidR="0085636E" w:rsidRDefault="006E4C7B">
      <w:pPr>
        <w:spacing w:after="0"/>
      </w:pPr>
      <w:r>
        <w:rPr>
          <w:rFonts w:ascii="Arial" w:hAnsi="Arial"/>
          <w:color w:val="434343"/>
          <w:sz w:val="18"/>
        </w:rPr>
        <w:t xml:space="preserve">Département de publication : </w:t>
      </w:r>
      <w:r>
        <w:rPr>
          <w:rFonts w:ascii="Arial" w:hAnsi="Arial"/>
          <w:b/>
          <w:color w:val="434343"/>
          <w:sz w:val="18"/>
        </w:rPr>
        <w:t>04</w:t>
      </w:r>
    </w:p>
    <w:p w:rsidR="0085636E" w:rsidRDefault="006E4C7B">
      <w:pPr>
        <w:spacing w:after="0"/>
      </w:pPr>
      <w:r>
        <w:rPr>
          <w:rFonts w:ascii="Arial" w:hAnsi="Arial"/>
          <w:color w:val="434343"/>
          <w:sz w:val="18"/>
        </w:rPr>
        <w:t>Le numéro d'annonce sera obtenu après envoi</w:t>
      </w:r>
    </w:p>
    <w:p w:rsidR="0085636E" w:rsidRDefault="006E4C7B">
      <w:pPr>
        <w:spacing w:after="0"/>
      </w:pPr>
      <w:r>
        <w:rPr>
          <w:rFonts w:ascii="Arial" w:hAnsi="Arial"/>
          <w:color w:val="434343"/>
          <w:sz w:val="18"/>
        </w:rPr>
        <w:t xml:space="preserve">Fournitures </w:t>
      </w:r>
    </w:p>
    <w:p w:rsidR="0085636E" w:rsidRDefault="006E4C7B">
      <w:r>
        <w:pict>
          <v:rect id="_x0000_i1026" style="width:0;height:1.5pt" o:hralign="center" o:hrstd="t" o:hr="t" fillcolor="#a0a0a0" stroked="f"/>
        </w:pict>
      </w:r>
    </w:p>
    <w:p w:rsidR="0085636E" w:rsidRDefault="006E4C7B">
      <w:pPr>
        <w:spacing w:after="0"/>
        <w:jc w:val="center"/>
      </w:pPr>
      <w:bookmarkStart w:id="0" w:name="_GoBack"/>
      <w:bookmarkEnd w:id="0"/>
      <w:r>
        <w:rPr>
          <w:rFonts w:ascii="Arial" w:hAnsi="Arial"/>
          <w:b/>
          <w:color w:val="434343"/>
          <w:sz w:val="18"/>
        </w:rPr>
        <w:t>Avis d'appel public à la concurrence</w:t>
      </w:r>
      <w:bookmarkStart w:id="1" w:name="I"/>
      <w:bookmarkEnd w:id="1"/>
    </w:p>
    <w:p w:rsidR="0085636E" w:rsidRDefault="006E4C7B">
      <w:pPr>
        <w:pBdr>
          <w:left w:val="none" w:sz="0" w:space="19" w:color="auto"/>
        </w:pBdr>
        <w:spacing w:after="0"/>
      </w:pPr>
      <w:r>
        <w:rPr>
          <w:rFonts w:ascii="Arial" w:hAnsi="Arial"/>
          <w:b/>
          <w:i/>
          <w:color w:val="5A5A5A"/>
          <w:sz w:val="18"/>
        </w:rPr>
        <w:t>Nom et adresse officiels de l'organisme acheteur :</w:t>
      </w:r>
    </w:p>
    <w:p w:rsidR="0085636E" w:rsidRDefault="006E4C7B">
      <w:pPr>
        <w:pBdr>
          <w:left w:val="none" w:sz="0" w:space="6" w:color="auto"/>
        </w:pBdr>
        <w:spacing w:after="0"/>
      </w:pPr>
      <w:r>
        <w:rPr>
          <w:rFonts w:ascii="Arial" w:hAnsi="Arial"/>
          <w:color w:val="434343"/>
          <w:sz w:val="18"/>
        </w:rPr>
        <w:t>Ville de Manosque Service des marchés publics</w:t>
      </w:r>
      <w:r>
        <w:br/>
      </w:r>
      <w:r>
        <w:rPr>
          <w:rFonts w:ascii="Arial" w:hAnsi="Arial"/>
          <w:color w:val="434343"/>
          <w:sz w:val="18"/>
        </w:rPr>
        <w:t xml:space="preserve">Correspondant : M </w:t>
      </w:r>
      <w:proofErr w:type="spellStart"/>
      <w:r>
        <w:rPr>
          <w:rFonts w:ascii="Arial" w:hAnsi="Arial"/>
          <w:color w:val="434343"/>
          <w:sz w:val="18"/>
        </w:rPr>
        <w:t>Jeanmet</w:t>
      </w:r>
      <w:proofErr w:type="spellEnd"/>
      <w:r>
        <w:rPr>
          <w:rFonts w:ascii="Arial" w:hAnsi="Arial"/>
          <w:color w:val="434343"/>
          <w:sz w:val="18"/>
        </w:rPr>
        <w:t xml:space="preserve"> </w:t>
      </w:r>
      <w:proofErr w:type="spellStart"/>
      <w:r>
        <w:rPr>
          <w:rFonts w:ascii="Arial" w:hAnsi="Arial"/>
          <w:color w:val="434343"/>
          <w:sz w:val="18"/>
        </w:rPr>
        <w:t>Péralta</w:t>
      </w:r>
      <w:proofErr w:type="spellEnd"/>
      <w:r>
        <w:rPr>
          <w:rFonts w:ascii="Arial" w:hAnsi="Arial"/>
          <w:color w:val="434343"/>
          <w:sz w:val="18"/>
        </w:rPr>
        <w:t xml:space="preserve"> </w:t>
      </w:r>
      <w:proofErr w:type="gramStart"/>
      <w:r>
        <w:rPr>
          <w:rFonts w:ascii="Arial" w:hAnsi="Arial"/>
          <w:color w:val="434343"/>
          <w:sz w:val="18"/>
        </w:rPr>
        <w:t>Bernard ,</w:t>
      </w:r>
      <w:proofErr w:type="gramEnd"/>
      <w:r>
        <w:rPr>
          <w:rFonts w:ascii="Arial" w:hAnsi="Arial"/>
          <w:color w:val="434343"/>
          <w:sz w:val="18"/>
        </w:rPr>
        <w:t xml:space="preserve"> Maire, Place de l'</w:t>
      </w:r>
      <w:r>
        <w:rPr>
          <w:rFonts w:ascii="Arial" w:hAnsi="Arial"/>
          <w:color w:val="434343"/>
          <w:sz w:val="18"/>
        </w:rPr>
        <w:t xml:space="preserve">Hôtel de Ville , BP 107 , 04100 MANOSQUE. Courriel: </w:t>
      </w:r>
      <w:hyperlink r:id="rId5">
        <w:r>
          <w:rPr>
            <w:rFonts w:ascii="Arial" w:hAnsi="Arial"/>
            <w:color w:val="0000FF"/>
            <w:sz w:val="18"/>
            <w:u w:val="single"/>
          </w:rPr>
          <w:t>maire@ville-manosque.fr</w:t>
        </w:r>
      </w:hyperlink>
      <w:r>
        <w:rPr>
          <w:rFonts w:ascii="Arial" w:hAnsi="Arial"/>
          <w:color w:val="434343"/>
          <w:sz w:val="18"/>
        </w:rPr>
        <w:t xml:space="preserve">. Adresse internet: </w:t>
      </w:r>
      <w:hyperlink r:id="rId6">
        <w:r>
          <w:rPr>
            <w:rFonts w:ascii="Arial" w:hAnsi="Arial"/>
            <w:color w:val="0000FF"/>
            <w:sz w:val="18"/>
            <w:u w:val="single"/>
          </w:rPr>
          <w:t>http://ville-manosque.fr</w:t>
        </w:r>
      </w:hyperlink>
      <w:r>
        <w:br/>
      </w:r>
      <w:r>
        <w:rPr>
          <w:rFonts w:ascii="Arial" w:hAnsi="Arial"/>
          <w:color w:val="434343"/>
          <w:sz w:val="18"/>
        </w:rPr>
        <w:t xml:space="preserve">Adresse internet du profil d'acheteur: </w:t>
      </w:r>
      <w:hyperlink r:id="rId7">
        <w:r>
          <w:rPr>
            <w:rFonts w:ascii="Arial" w:hAnsi="Arial"/>
            <w:color w:val="0000FF"/>
            <w:sz w:val="18"/>
            <w:u w:val="single"/>
          </w:rPr>
          <w:t>http://ville-manosque.marcoweb.fr</w:t>
        </w:r>
      </w:hyperlink>
    </w:p>
    <w:p w:rsidR="0085636E" w:rsidRDefault="006E4C7B">
      <w:pPr>
        <w:pBdr>
          <w:left w:val="none" w:sz="0" w:space="19" w:color="auto"/>
        </w:pBdr>
        <w:spacing w:after="0"/>
      </w:pPr>
      <w:r>
        <w:rPr>
          <w:rFonts w:ascii="Arial" w:hAnsi="Arial"/>
          <w:b/>
          <w:i/>
          <w:color w:val="5A5A5A"/>
          <w:sz w:val="18"/>
        </w:rPr>
        <w:t>Principale(s) Activité(s) du pouvoir adjudicateur :</w:t>
      </w:r>
    </w:p>
    <w:p w:rsidR="0085636E" w:rsidRDefault="006E4C7B">
      <w:pPr>
        <w:pBdr>
          <w:left w:val="none" w:sz="0" w:space="6" w:color="auto"/>
        </w:pBdr>
        <w:spacing w:after="0"/>
      </w:pPr>
      <w:r>
        <w:rPr>
          <w:rFonts w:ascii="Arial" w:hAnsi="Arial"/>
          <w:color w:val="434343"/>
          <w:sz w:val="18"/>
        </w:rPr>
        <w:t>Services généraux des administrations publiques.</w:t>
      </w:r>
    </w:p>
    <w:p w:rsidR="0085636E" w:rsidRDefault="006E4C7B">
      <w:pPr>
        <w:pBdr>
          <w:left w:val="none" w:sz="0" w:space="6" w:color="auto"/>
        </w:pBdr>
        <w:spacing w:after="0"/>
      </w:pPr>
      <w:r>
        <w:rPr>
          <w:rFonts w:ascii="Arial" w:hAnsi="Arial"/>
          <w:color w:val="434343"/>
          <w:sz w:val="18"/>
        </w:rPr>
        <w:t>Le pouvoir adjudicateur n'agit pas pour le compte d'autres pouvoirs adjudicate</w:t>
      </w:r>
      <w:r>
        <w:rPr>
          <w:rFonts w:ascii="Arial" w:hAnsi="Arial"/>
          <w:color w:val="434343"/>
          <w:sz w:val="18"/>
        </w:rPr>
        <w:t xml:space="preserve">urs. </w:t>
      </w:r>
    </w:p>
    <w:p w:rsidR="0085636E" w:rsidRDefault="006E4C7B">
      <w:pPr>
        <w:pBdr>
          <w:left w:val="none" w:sz="0" w:space="19" w:color="auto"/>
        </w:pBdr>
        <w:spacing w:after="0"/>
      </w:pPr>
      <w:r>
        <w:rPr>
          <w:rFonts w:ascii="Arial" w:hAnsi="Arial"/>
          <w:b/>
          <w:i/>
          <w:color w:val="5A5A5A"/>
          <w:sz w:val="18"/>
        </w:rPr>
        <w:t>Objet du marché :</w:t>
      </w:r>
    </w:p>
    <w:p w:rsidR="0085636E" w:rsidRDefault="006E4C7B">
      <w:pPr>
        <w:pBdr>
          <w:left w:val="none" w:sz="0" w:space="6" w:color="auto"/>
        </w:pBdr>
        <w:spacing w:after="0"/>
      </w:pPr>
      <w:r>
        <w:rPr>
          <w:rFonts w:ascii="Arial" w:hAnsi="Arial"/>
          <w:color w:val="434343"/>
          <w:sz w:val="18"/>
        </w:rPr>
        <w:t>Numéro de la consultation : VILMI19F03 FOURNITURE ET INSTALLATION DE MATÉRIEL DE PÉAGE POUR PARKINGS</w:t>
      </w:r>
    </w:p>
    <w:p w:rsidR="0085636E" w:rsidRDefault="006E4C7B">
      <w:pPr>
        <w:pBdr>
          <w:left w:val="none" w:sz="0" w:space="19" w:color="auto"/>
        </w:pBdr>
        <w:spacing w:after="0"/>
      </w:pPr>
      <w:r>
        <w:rPr>
          <w:rFonts w:ascii="Arial" w:hAnsi="Arial"/>
          <w:b/>
          <w:i/>
          <w:color w:val="5A5A5A"/>
          <w:sz w:val="18"/>
        </w:rPr>
        <w:t>Mots descripteurs :</w:t>
      </w:r>
    </w:p>
    <w:p w:rsidR="0085636E" w:rsidRDefault="006E4C7B">
      <w:pPr>
        <w:pBdr>
          <w:left w:val="none" w:sz="0" w:space="6" w:color="auto"/>
        </w:pBdr>
        <w:spacing w:after="0"/>
      </w:pPr>
      <w:r>
        <w:rPr>
          <w:rFonts w:ascii="Arial" w:hAnsi="Arial"/>
          <w:color w:val="434343"/>
          <w:sz w:val="18"/>
        </w:rPr>
        <w:t xml:space="preserve">Matériel de transmission. </w:t>
      </w:r>
    </w:p>
    <w:p w:rsidR="0085636E" w:rsidRDefault="006E4C7B">
      <w:pPr>
        <w:pBdr>
          <w:left w:val="none" w:sz="0" w:space="6" w:color="auto"/>
        </w:pBdr>
        <w:spacing w:after="0"/>
      </w:pPr>
      <w:r>
        <w:rPr>
          <w:rFonts w:ascii="Arial" w:hAnsi="Arial"/>
          <w:color w:val="434343"/>
          <w:sz w:val="18"/>
        </w:rPr>
        <w:t xml:space="preserve">Type de fournitures : Achat. </w:t>
      </w:r>
    </w:p>
    <w:p w:rsidR="0085636E" w:rsidRDefault="006E4C7B">
      <w:pPr>
        <w:pBdr>
          <w:left w:val="none" w:sz="0" w:space="19" w:color="auto"/>
        </w:pBdr>
        <w:spacing w:after="0"/>
      </w:pPr>
      <w:r>
        <w:rPr>
          <w:rFonts w:ascii="Arial" w:hAnsi="Arial"/>
          <w:b/>
          <w:i/>
          <w:color w:val="5A5A5A"/>
          <w:sz w:val="18"/>
        </w:rPr>
        <w:t>Lieu d'exécution :</w:t>
      </w:r>
    </w:p>
    <w:p w:rsidR="0085636E" w:rsidRDefault="006E4C7B">
      <w:pPr>
        <w:pBdr>
          <w:left w:val="none" w:sz="0" w:space="6" w:color="auto"/>
        </w:pBdr>
        <w:spacing w:after="0"/>
      </w:pPr>
      <w:r>
        <w:rPr>
          <w:rFonts w:ascii="Arial" w:hAnsi="Arial"/>
          <w:color w:val="434343"/>
          <w:sz w:val="18"/>
        </w:rPr>
        <w:t xml:space="preserve">Parking du </w:t>
      </w:r>
      <w:proofErr w:type="spellStart"/>
      <w:r>
        <w:rPr>
          <w:rFonts w:ascii="Arial" w:hAnsi="Arial"/>
          <w:color w:val="434343"/>
          <w:sz w:val="18"/>
        </w:rPr>
        <w:t>centre ville</w:t>
      </w:r>
      <w:proofErr w:type="spellEnd"/>
      <w:r>
        <w:rPr>
          <w:rFonts w:ascii="Arial" w:hAnsi="Arial"/>
          <w:color w:val="434343"/>
          <w:sz w:val="18"/>
        </w:rPr>
        <w:t xml:space="preserve"> et parking du </w:t>
      </w:r>
      <w:proofErr w:type="spellStart"/>
      <w:r>
        <w:rPr>
          <w:rFonts w:ascii="Arial" w:hAnsi="Arial"/>
          <w:color w:val="434343"/>
          <w:sz w:val="18"/>
        </w:rPr>
        <w:t>Caragou</w:t>
      </w:r>
      <w:proofErr w:type="spellEnd"/>
      <w:r>
        <w:rPr>
          <w:rFonts w:ascii="Arial" w:hAnsi="Arial"/>
          <w:color w:val="434343"/>
          <w:sz w:val="18"/>
        </w:rPr>
        <w:t xml:space="preserve">. 04100 MANOSQUE. </w:t>
      </w:r>
    </w:p>
    <w:p w:rsidR="0085636E" w:rsidRDefault="006E4C7B">
      <w:pPr>
        <w:pBdr>
          <w:left w:val="none" w:sz="0" w:space="19" w:color="auto"/>
        </w:pBdr>
        <w:spacing w:after="0"/>
      </w:pPr>
      <w:r>
        <w:rPr>
          <w:rFonts w:ascii="Arial" w:hAnsi="Arial"/>
          <w:b/>
          <w:i/>
          <w:color w:val="5A5A5A"/>
          <w:sz w:val="18"/>
        </w:rPr>
        <w:t>Code NUTS :</w:t>
      </w:r>
    </w:p>
    <w:p w:rsidR="0085636E" w:rsidRDefault="006E4C7B">
      <w:pPr>
        <w:pBdr>
          <w:left w:val="none" w:sz="0" w:space="6" w:color="auto"/>
        </w:pBdr>
        <w:spacing w:after="0"/>
      </w:pPr>
      <w:r>
        <w:rPr>
          <w:rFonts w:ascii="Arial" w:hAnsi="Arial"/>
          <w:color w:val="434343"/>
          <w:sz w:val="18"/>
        </w:rPr>
        <w:t>FRL01.</w:t>
      </w:r>
    </w:p>
    <w:p w:rsidR="0085636E" w:rsidRDefault="006E4C7B">
      <w:pPr>
        <w:pBdr>
          <w:left w:val="none" w:sz="0" w:space="19" w:color="auto"/>
        </w:pBdr>
        <w:spacing w:after="0"/>
      </w:pPr>
      <w:r>
        <w:rPr>
          <w:rFonts w:ascii="Arial" w:hAnsi="Arial"/>
          <w:b/>
          <w:i/>
          <w:color w:val="5A5A5A"/>
          <w:sz w:val="18"/>
        </w:rPr>
        <w:t>L'avis implique :</w:t>
      </w:r>
    </w:p>
    <w:p w:rsidR="0085636E" w:rsidRDefault="006E4C7B">
      <w:pPr>
        <w:pBdr>
          <w:left w:val="none" w:sz="0" w:space="6" w:color="auto"/>
        </w:pBdr>
        <w:spacing w:after="0"/>
      </w:pPr>
      <w:r>
        <w:rPr>
          <w:rFonts w:ascii="Arial" w:hAnsi="Arial"/>
          <w:color w:val="434343"/>
          <w:sz w:val="18"/>
        </w:rPr>
        <w:t xml:space="preserve">Un marché </w:t>
      </w:r>
      <w:proofErr w:type="gramStart"/>
      <w:r>
        <w:rPr>
          <w:rFonts w:ascii="Arial" w:hAnsi="Arial"/>
          <w:color w:val="434343"/>
          <w:sz w:val="18"/>
        </w:rPr>
        <w:t>public .</w:t>
      </w:r>
      <w:proofErr w:type="gramEnd"/>
    </w:p>
    <w:p w:rsidR="0085636E" w:rsidRDefault="006E4C7B">
      <w:pPr>
        <w:pBdr>
          <w:left w:val="none" w:sz="0" w:space="19" w:color="auto"/>
        </w:pBdr>
        <w:spacing w:after="0"/>
      </w:pPr>
      <w:r>
        <w:rPr>
          <w:rFonts w:ascii="Arial" w:hAnsi="Arial"/>
          <w:b/>
          <w:i/>
          <w:color w:val="5A5A5A"/>
          <w:sz w:val="18"/>
        </w:rPr>
        <w:t>Caractéristiques principales :</w:t>
      </w:r>
    </w:p>
    <w:p w:rsidR="0085636E" w:rsidRDefault="006E4C7B">
      <w:pPr>
        <w:pBdr>
          <w:left w:val="none" w:sz="0" w:space="6" w:color="auto"/>
        </w:pBdr>
        <w:spacing w:after="0"/>
      </w:pPr>
      <w:r>
        <w:rPr>
          <w:rFonts w:ascii="Arial" w:hAnsi="Arial"/>
          <w:color w:val="434343"/>
          <w:sz w:val="18"/>
        </w:rPr>
        <w:t>Forme de marché : ordinaire. Attribution d'un marché unique.</w:t>
      </w:r>
    </w:p>
    <w:p w:rsidR="0085636E" w:rsidRDefault="006E4C7B">
      <w:pPr>
        <w:pBdr>
          <w:left w:val="none" w:sz="0" w:space="19" w:color="auto"/>
        </w:pBdr>
        <w:spacing w:after="0"/>
      </w:pPr>
      <w:r>
        <w:rPr>
          <w:rFonts w:ascii="Arial" w:hAnsi="Arial"/>
          <w:b/>
          <w:i/>
          <w:color w:val="5A5A5A"/>
          <w:sz w:val="18"/>
        </w:rPr>
        <w:t xml:space="preserve">Des variantes seront-elles prises en compte </w:t>
      </w:r>
      <w:r>
        <w:rPr>
          <w:rFonts w:ascii="Arial" w:hAnsi="Arial"/>
          <w:b/>
          <w:i/>
          <w:color w:val="5A5A5A"/>
          <w:sz w:val="18"/>
        </w:rPr>
        <w:t>:</w:t>
      </w:r>
    </w:p>
    <w:p w:rsidR="0085636E" w:rsidRDefault="006E4C7B">
      <w:pPr>
        <w:pBdr>
          <w:left w:val="none" w:sz="0" w:space="6" w:color="auto"/>
        </w:pBdr>
        <w:spacing w:after="0"/>
      </w:pPr>
      <w:r>
        <w:rPr>
          <w:rFonts w:ascii="Arial" w:hAnsi="Arial"/>
          <w:color w:val="434343"/>
          <w:sz w:val="18"/>
        </w:rPr>
        <w:t xml:space="preserve">Non. </w:t>
      </w:r>
    </w:p>
    <w:p w:rsidR="0085636E" w:rsidRDefault="006E4C7B">
      <w:pPr>
        <w:pBdr>
          <w:left w:val="none" w:sz="0" w:space="19" w:color="auto"/>
        </w:pBdr>
        <w:spacing w:after="0"/>
      </w:pPr>
      <w:r>
        <w:rPr>
          <w:rFonts w:ascii="Arial" w:hAnsi="Arial"/>
          <w:b/>
          <w:i/>
          <w:color w:val="5A5A5A"/>
          <w:sz w:val="18"/>
        </w:rPr>
        <w:t>La procédure d'achat du présent avis est couverte par l'accord sur les marchés publics de l'OMC :</w:t>
      </w:r>
    </w:p>
    <w:p w:rsidR="0085636E" w:rsidRDefault="006E4C7B">
      <w:pPr>
        <w:pBdr>
          <w:left w:val="none" w:sz="0" w:space="6" w:color="auto"/>
        </w:pBdr>
        <w:spacing w:after="0"/>
      </w:pPr>
      <w:r>
        <w:rPr>
          <w:rFonts w:ascii="Arial" w:hAnsi="Arial"/>
          <w:color w:val="434343"/>
          <w:sz w:val="18"/>
        </w:rPr>
        <w:t>Non.</w:t>
      </w:r>
    </w:p>
    <w:p w:rsidR="0085636E" w:rsidRDefault="006E4C7B">
      <w:pPr>
        <w:pBdr>
          <w:left w:val="none" w:sz="0" w:space="19" w:color="auto"/>
        </w:pBdr>
        <w:spacing w:after="0"/>
      </w:pPr>
      <w:r>
        <w:rPr>
          <w:rFonts w:ascii="Arial" w:hAnsi="Arial"/>
          <w:b/>
          <w:i/>
          <w:color w:val="5A5A5A"/>
          <w:sz w:val="18"/>
        </w:rPr>
        <w:t>Prestations divisées en lots :</w:t>
      </w:r>
    </w:p>
    <w:p w:rsidR="0085636E" w:rsidRDefault="006E4C7B">
      <w:pPr>
        <w:pBdr>
          <w:left w:val="none" w:sz="0" w:space="6" w:color="auto"/>
        </w:pBdr>
        <w:spacing w:after="0"/>
      </w:pPr>
      <w:r>
        <w:rPr>
          <w:rFonts w:ascii="Arial" w:hAnsi="Arial"/>
          <w:color w:val="434343"/>
          <w:sz w:val="18"/>
        </w:rPr>
        <w:t>Non.</w:t>
      </w:r>
    </w:p>
    <w:p w:rsidR="0085636E" w:rsidRDefault="006E4C7B">
      <w:pPr>
        <w:pBdr>
          <w:left w:val="none" w:sz="0" w:space="19" w:color="auto"/>
        </w:pBdr>
        <w:spacing w:after="0"/>
      </w:pPr>
      <w:r>
        <w:rPr>
          <w:rFonts w:ascii="Arial" w:hAnsi="Arial"/>
          <w:b/>
          <w:i/>
          <w:color w:val="5A5A5A"/>
          <w:sz w:val="18"/>
        </w:rPr>
        <w:t>Durée du marché ou délai d'exécution :</w:t>
      </w:r>
    </w:p>
    <w:p w:rsidR="0085636E" w:rsidRDefault="006E4C7B">
      <w:pPr>
        <w:pBdr>
          <w:left w:val="none" w:sz="0" w:space="6" w:color="auto"/>
        </w:pBdr>
        <w:spacing w:after="0"/>
      </w:pPr>
      <w:r>
        <w:rPr>
          <w:rFonts w:ascii="Arial" w:hAnsi="Arial"/>
          <w:color w:val="434343"/>
          <w:sz w:val="18"/>
        </w:rPr>
        <w:t xml:space="preserve">51 mois. </w:t>
      </w:r>
    </w:p>
    <w:p w:rsidR="0085636E" w:rsidRDefault="006E4C7B">
      <w:pPr>
        <w:pBdr>
          <w:left w:val="none" w:sz="0" w:space="19" w:color="auto"/>
        </w:pBdr>
        <w:spacing w:after="0"/>
      </w:pPr>
      <w:r>
        <w:rPr>
          <w:rFonts w:ascii="Arial" w:hAnsi="Arial"/>
          <w:b/>
          <w:i/>
          <w:color w:val="5A5A5A"/>
          <w:sz w:val="18"/>
        </w:rPr>
        <w:t>Cautionnement et garanties exigés :</w:t>
      </w:r>
    </w:p>
    <w:p w:rsidR="0085636E" w:rsidRDefault="006E4C7B">
      <w:pPr>
        <w:pBdr>
          <w:left w:val="none" w:sz="0" w:space="6" w:color="auto"/>
        </w:pBdr>
        <w:spacing w:after="0"/>
      </w:pPr>
      <w:r>
        <w:rPr>
          <w:rFonts w:ascii="Arial" w:hAnsi="Arial"/>
          <w:color w:val="434343"/>
          <w:sz w:val="18"/>
        </w:rPr>
        <w:t>Retenue de garantie de 5</w:t>
      </w:r>
      <w:r>
        <w:rPr>
          <w:rFonts w:ascii="Arial" w:hAnsi="Arial"/>
          <w:color w:val="434343"/>
          <w:sz w:val="18"/>
        </w:rPr>
        <w:t>,0 %, qui peut être remplacée par une garantie à première demande. Garantie à première demande couvrant 100,0 % du montant de l'avance.</w:t>
      </w:r>
    </w:p>
    <w:p w:rsidR="0085636E" w:rsidRDefault="006E4C7B">
      <w:pPr>
        <w:pBdr>
          <w:left w:val="none" w:sz="0" w:space="19" w:color="auto"/>
        </w:pBdr>
        <w:spacing w:after="0"/>
      </w:pPr>
      <w:r>
        <w:rPr>
          <w:rFonts w:ascii="Arial" w:hAnsi="Arial"/>
          <w:b/>
          <w:i/>
          <w:color w:val="5A5A5A"/>
          <w:sz w:val="18"/>
        </w:rPr>
        <w:t>Modalités essentielles de financement et de paiement et/ou références aux textes qui les réglementent :</w:t>
      </w:r>
    </w:p>
    <w:p w:rsidR="0085636E" w:rsidRDefault="006E4C7B">
      <w:pPr>
        <w:pBdr>
          <w:left w:val="none" w:sz="0" w:space="6" w:color="auto"/>
        </w:pBdr>
        <w:spacing w:after="0"/>
      </w:pPr>
      <w:r>
        <w:rPr>
          <w:rFonts w:ascii="Arial" w:hAnsi="Arial"/>
          <w:color w:val="434343"/>
          <w:sz w:val="18"/>
        </w:rPr>
        <w:t>Prestations régl</w:t>
      </w:r>
      <w:r>
        <w:rPr>
          <w:rFonts w:ascii="Arial" w:hAnsi="Arial"/>
          <w:color w:val="434343"/>
          <w:sz w:val="18"/>
        </w:rPr>
        <w:t>ées par un prix global forfaitaire Prix révisables annuellement. Avance de 5,0 % accordée dans les conditions prévues au contrat. Délai global de paiement des prestations de 30 jours. Modalités de financement des prestations : Budget propre de la collectiv</w:t>
      </w:r>
      <w:r>
        <w:rPr>
          <w:rFonts w:ascii="Arial" w:hAnsi="Arial"/>
          <w:color w:val="434343"/>
          <w:sz w:val="18"/>
        </w:rPr>
        <w:t>ité.</w:t>
      </w:r>
    </w:p>
    <w:p w:rsidR="0085636E" w:rsidRDefault="006E4C7B">
      <w:pPr>
        <w:pBdr>
          <w:left w:val="none" w:sz="0" w:space="19" w:color="auto"/>
        </w:pBdr>
        <w:spacing w:after="0"/>
      </w:pPr>
      <w:r>
        <w:rPr>
          <w:rFonts w:ascii="Arial" w:hAnsi="Arial"/>
          <w:b/>
          <w:i/>
          <w:color w:val="5A5A5A"/>
          <w:sz w:val="18"/>
        </w:rPr>
        <w:t>Langue(s) pouvant être utilisée(s) dans l'offre ou la candidature :</w:t>
      </w:r>
    </w:p>
    <w:p w:rsidR="0085636E" w:rsidRDefault="006E4C7B">
      <w:pPr>
        <w:pBdr>
          <w:left w:val="none" w:sz="0" w:space="6" w:color="auto"/>
        </w:pBdr>
        <w:spacing w:after="0"/>
      </w:pPr>
      <w:r>
        <w:rPr>
          <w:rFonts w:ascii="Arial" w:hAnsi="Arial"/>
          <w:color w:val="434343"/>
          <w:sz w:val="18"/>
        </w:rPr>
        <w:t xml:space="preserve">Français. </w:t>
      </w:r>
    </w:p>
    <w:p w:rsidR="0085636E" w:rsidRDefault="006E4C7B">
      <w:pPr>
        <w:pBdr>
          <w:left w:val="none" w:sz="0" w:space="19" w:color="auto"/>
        </w:pBdr>
        <w:spacing w:after="0"/>
      </w:pPr>
      <w:r>
        <w:rPr>
          <w:rFonts w:ascii="Arial" w:hAnsi="Arial"/>
          <w:b/>
          <w:i/>
          <w:color w:val="5A5A5A"/>
          <w:sz w:val="18"/>
        </w:rPr>
        <w:t>Unité monétaire utilisée :</w:t>
      </w:r>
    </w:p>
    <w:p w:rsidR="0085636E" w:rsidRDefault="006E4C7B">
      <w:pPr>
        <w:pBdr>
          <w:left w:val="none" w:sz="0" w:space="6" w:color="auto"/>
        </w:pBdr>
        <w:spacing w:after="0"/>
      </w:pPr>
      <w:proofErr w:type="gramStart"/>
      <w:r>
        <w:rPr>
          <w:rFonts w:ascii="Arial" w:hAnsi="Arial"/>
          <w:color w:val="434343"/>
          <w:sz w:val="18"/>
        </w:rPr>
        <w:t>l'euro</w:t>
      </w:r>
      <w:proofErr w:type="gramEnd"/>
      <w:r>
        <w:rPr>
          <w:rFonts w:ascii="Arial" w:hAnsi="Arial"/>
          <w:color w:val="434343"/>
          <w:sz w:val="18"/>
        </w:rPr>
        <w:t>.</w:t>
      </w:r>
    </w:p>
    <w:p w:rsidR="0085636E" w:rsidRDefault="006E4C7B">
      <w:pPr>
        <w:pBdr>
          <w:left w:val="none" w:sz="0" w:space="19" w:color="auto"/>
        </w:pBdr>
        <w:spacing w:after="0"/>
      </w:pPr>
      <w:r>
        <w:rPr>
          <w:rFonts w:ascii="Arial" w:hAnsi="Arial"/>
          <w:b/>
          <w:i/>
          <w:color w:val="5A5A5A"/>
          <w:sz w:val="18"/>
        </w:rPr>
        <w:t>Conditions de participation :</w:t>
      </w:r>
    </w:p>
    <w:p w:rsidR="0085636E" w:rsidRDefault="006E4C7B">
      <w:pPr>
        <w:pBdr>
          <w:left w:val="none" w:sz="0" w:space="19" w:color="auto"/>
        </w:pBdr>
        <w:spacing w:after="0"/>
      </w:pPr>
      <w:r>
        <w:rPr>
          <w:rFonts w:ascii="Arial" w:hAnsi="Arial"/>
          <w:b/>
          <w:i/>
          <w:color w:val="5A5A5A"/>
          <w:sz w:val="18"/>
        </w:rPr>
        <w:t>Situation juridique - références requises :</w:t>
      </w:r>
    </w:p>
    <w:p w:rsidR="0085636E" w:rsidRDefault="006E4C7B">
      <w:pPr>
        <w:pBdr>
          <w:left w:val="none" w:sz="0" w:space="6" w:color="auto"/>
        </w:pBdr>
        <w:spacing w:after="0"/>
      </w:pPr>
      <w:r>
        <w:rPr>
          <w:rFonts w:ascii="Arial" w:hAnsi="Arial"/>
          <w:color w:val="434343"/>
          <w:sz w:val="18"/>
        </w:rPr>
        <w:t>Références requises mentionnées dans les documents de la consul</w:t>
      </w:r>
      <w:r>
        <w:rPr>
          <w:rFonts w:ascii="Arial" w:hAnsi="Arial"/>
          <w:color w:val="434343"/>
          <w:sz w:val="18"/>
        </w:rPr>
        <w:t>tation</w:t>
      </w:r>
      <w:proofErr w:type="gramStart"/>
      <w:r>
        <w:rPr>
          <w:rFonts w:ascii="Arial" w:hAnsi="Arial"/>
          <w:color w:val="434343"/>
          <w:sz w:val="18"/>
        </w:rPr>
        <w:t>..</w:t>
      </w:r>
      <w:proofErr w:type="gramEnd"/>
    </w:p>
    <w:p w:rsidR="0085636E" w:rsidRDefault="006E4C7B">
      <w:pPr>
        <w:pBdr>
          <w:left w:val="none" w:sz="0" w:space="19" w:color="auto"/>
        </w:pBdr>
        <w:spacing w:after="0"/>
      </w:pPr>
      <w:r>
        <w:rPr>
          <w:rFonts w:ascii="Arial" w:hAnsi="Arial"/>
          <w:b/>
          <w:i/>
          <w:color w:val="5A5A5A"/>
          <w:sz w:val="18"/>
        </w:rPr>
        <w:t>Capacité économique et financière :</w:t>
      </w:r>
    </w:p>
    <w:p w:rsidR="0085636E" w:rsidRDefault="006E4C7B">
      <w:pPr>
        <w:pBdr>
          <w:left w:val="none" w:sz="0" w:space="6" w:color="auto"/>
        </w:pBdr>
        <w:spacing w:after="0"/>
      </w:pPr>
      <w:r>
        <w:rPr>
          <w:rFonts w:ascii="Arial" w:hAnsi="Arial"/>
          <w:color w:val="434343"/>
          <w:sz w:val="18"/>
        </w:rPr>
        <w:t>Références requises mentionnées dans les documents de la consultation</w:t>
      </w:r>
      <w:proofErr w:type="gramStart"/>
      <w:r>
        <w:rPr>
          <w:rFonts w:ascii="Arial" w:hAnsi="Arial"/>
          <w:color w:val="434343"/>
          <w:sz w:val="18"/>
        </w:rPr>
        <w:t>..</w:t>
      </w:r>
      <w:proofErr w:type="gramEnd"/>
    </w:p>
    <w:p w:rsidR="0085636E" w:rsidRDefault="006E4C7B">
      <w:pPr>
        <w:pBdr>
          <w:left w:val="none" w:sz="0" w:space="19" w:color="auto"/>
        </w:pBdr>
        <w:spacing w:after="0"/>
      </w:pPr>
      <w:r>
        <w:rPr>
          <w:rFonts w:ascii="Arial" w:hAnsi="Arial"/>
          <w:b/>
          <w:i/>
          <w:color w:val="5A5A5A"/>
          <w:sz w:val="18"/>
        </w:rPr>
        <w:lastRenderedPageBreak/>
        <w:t>Capacité technique :</w:t>
      </w:r>
    </w:p>
    <w:p w:rsidR="0085636E" w:rsidRDefault="006E4C7B">
      <w:pPr>
        <w:pBdr>
          <w:left w:val="none" w:sz="0" w:space="6" w:color="auto"/>
        </w:pBdr>
        <w:spacing w:after="0"/>
      </w:pPr>
      <w:r>
        <w:rPr>
          <w:rFonts w:ascii="Arial" w:hAnsi="Arial"/>
          <w:color w:val="434343"/>
          <w:sz w:val="18"/>
        </w:rPr>
        <w:t>Références requises mentionnées dans les documents de la consultation</w:t>
      </w:r>
      <w:proofErr w:type="gramStart"/>
      <w:r>
        <w:rPr>
          <w:rFonts w:ascii="Arial" w:hAnsi="Arial"/>
          <w:color w:val="434343"/>
          <w:sz w:val="18"/>
        </w:rPr>
        <w:t>..</w:t>
      </w:r>
      <w:proofErr w:type="gramEnd"/>
    </w:p>
    <w:p w:rsidR="0085636E" w:rsidRDefault="006E4C7B">
      <w:pPr>
        <w:pBdr>
          <w:left w:val="none" w:sz="0" w:space="19" w:color="auto"/>
        </w:pBdr>
        <w:spacing w:after="0"/>
      </w:pPr>
      <w:r>
        <w:rPr>
          <w:rFonts w:ascii="Arial" w:hAnsi="Arial"/>
          <w:b/>
          <w:i/>
          <w:color w:val="5A5A5A"/>
          <w:sz w:val="18"/>
        </w:rPr>
        <w:t>Marché réservé :</w:t>
      </w:r>
    </w:p>
    <w:p w:rsidR="0085636E" w:rsidRDefault="006E4C7B">
      <w:pPr>
        <w:pBdr>
          <w:left w:val="none" w:sz="0" w:space="6" w:color="auto"/>
        </w:pBdr>
        <w:spacing w:after="0"/>
      </w:pPr>
      <w:r>
        <w:rPr>
          <w:rFonts w:ascii="Arial" w:hAnsi="Arial"/>
          <w:color w:val="434343"/>
          <w:sz w:val="18"/>
        </w:rPr>
        <w:t>Non.</w:t>
      </w:r>
    </w:p>
    <w:p w:rsidR="0085636E" w:rsidRDefault="006E4C7B">
      <w:pPr>
        <w:pBdr>
          <w:left w:val="none" w:sz="0" w:space="19" w:color="auto"/>
        </w:pBdr>
        <w:spacing w:after="0"/>
      </w:pPr>
      <w:r>
        <w:rPr>
          <w:rFonts w:ascii="Arial" w:hAnsi="Arial"/>
          <w:b/>
          <w:i/>
          <w:color w:val="5A5A5A"/>
          <w:sz w:val="18"/>
        </w:rPr>
        <w:t xml:space="preserve">La transmission et la </w:t>
      </w:r>
      <w:r>
        <w:rPr>
          <w:rFonts w:ascii="Arial" w:hAnsi="Arial"/>
          <w:b/>
          <w:i/>
          <w:color w:val="5A5A5A"/>
          <w:sz w:val="18"/>
        </w:rPr>
        <w:t>vérification des documents de candidatures peuvent être effectuées par le dispositif Marché public simplifié sur présentation du numéro de SIRET :</w:t>
      </w:r>
    </w:p>
    <w:p w:rsidR="0085636E" w:rsidRDefault="006E4C7B">
      <w:pPr>
        <w:pBdr>
          <w:left w:val="none" w:sz="0" w:space="6" w:color="auto"/>
        </w:pBdr>
        <w:spacing w:after="0"/>
      </w:pPr>
      <w:r>
        <w:rPr>
          <w:rFonts w:ascii="Arial" w:hAnsi="Arial"/>
          <w:color w:val="434343"/>
          <w:sz w:val="18"/>
        </w:rPr>
        <w:t>Non</w:t>
      </w:r>
    </w:p>
    <w:p w:rsidR="0085636E" w:rsidRDefault="006E4C7B">
      <w:pPr>
        <w:pBdr>
          <w:left w:val="none" w:sz="0" w:space="19" w:color="auto"/>
        </w:pBdr>
        <w:spacing w:after="0"/>
      </w:pPr>
      <w:r>
        <w:rPr>
          <w:rFonts w:ascii="Arial" w:hAnsi="Arial"/>
          <w:b/>
          <w:i/>
          <w:color w:val="5A5A5A"/>
          <w:sz w:val="18"/>
        </w:rPr>
        <w:t>Candidats :</w:t>
      </w:r>
    </w:p>
    <w:p w:rsidR="0085636E" w:rsidRDefault="006E4C7B">
      <w:pPr>
        <w:pBdr>
          <w:left w:val="none" w:sz="0" w:space="19" w:color="auto"/>
        </w:pBdr>
        <w:spacing w:after="0"/>
      </w:pPr>
      <w:r>
        <w:rPr>
          <w:rFonts w:ascii="Arial" w:hAnsi="Arial"/>
          <w:b/>
          <w:i/>
          <w:color w:val="5A5A5A"/>
          <w:sz w:val="18"/>
        </w:rPr>
        <w:t>Critères d'attribution :</w:t>
      </w:r>
    </w:p>
    <w:p w:rsidR="0085636E" w:rsidRDefault="006E4C7B">
      <w:pPr>
        <w:pBdr>
          <w:left w:val="none" w:sz="0" w:space="6" w:color="auto"/>
        </w:pBdr>
        <w:spacing w:after="0"/>
      </w:pPr>
      <w:r>
        <w:rPr>
          <w:rFonts w:ascii="Arial" w:hAnsi="Arial"/>
          <w:color w:val="434343"/>
          <w:sz w:val="18"/>
        </w:rPr>
        <w:t>Offre économiquement la plus avantageuse appréciée en fonction des c</w:t>
      </w:r>
      <w:r>
        <w:rPr>
          <w:rFonts w:ascii="Arial" w:hAnsi="Arial"/>
          <w:color w:val="434343"/>
          <w:sz w:val="18"/>
        </w:rPr>
        <w:t xml:space="preserve">ritères énoncés dans le cahier des charges (règlement de la consultation, lettre d'invitation ou document descriptif). </w:t>
      </w:r>
    </w:p>
    <w:p w:rsidR="0085636E" w:rsidRDefault="006E4C7B">
      <w:pPr>
        <w:pBdr>
          <w:left w:val="none" w:sz="0" w:space="19" w:color="auto"/>
        </w:pBdr>
        <w:spacing w:after="0"/>
      </w:pPr>
      <w:r>
        <w:rPr>
          <w:rFonts w:ascii="Arial" w:hAnsi="Arial"/>
          <w:b/>
          <w:i/>
          <w:color w:val="5A5A5A"/>
          <w:sz w:val="18"/>
        </w:rPr>
        <w:t>Une enchère électronique ne sera pas effectuée.</w:t>
      </w:r>
    </w:p>
    <w:p w:rsidR="0085636E" w:rsidRDefault="006E4C7B">
      <w:pPr>
        <w:pBdr>
          <w:left w:val="none" w:sz="0" w:space="19" w:color="auto"/>
        </w:pBdr>
        <w:spacing w:after="0"/>
      </w:pPr>
      <w:r>
        <w:rPr>
          <w:rFonts w:ascii="Arial" w:hAnsi="Arial"/>
          <w:b/>
          <w:i/>
          <w:color w:val="5A5A5A"/>
          <w:sz w:val="18"/>
        </w:rPr>
        <w:t>Type de procédure :</w:t>
      </w:r>
    </w:p>
    <w:p w:rsidR="0085636E" w:rsidRDefault="006E4C7B">
      <w:pPr>
        <w:pBdr>
          <w:left w:val="none" w:sz="0" w:space="6" w:color="auto"/>
        </w:pBdr>
        <w:spacing w:after="0"/>
      </w:pPr>
      <w:r>
        <w:rPr>
          <w:rFonts w:ascii="Arial" w:hAnsi="Arial"/>
          <w:color w:val="434343"/>
          <w:sz w:val="18"/>
        </w:rPr>
        <w:t xml:space="preserve">Procédure adaptée. </w:t>
      </w:r>
    </w:p>
    <w:p w:rsidR="0085636E" w:rsidRDefault="006E4C7B">
      <w:pPr>
        <w:pBdr>
          <w:left w:val="none" w:sz="0" w:space="19" w:color="auto"/>
        </w:pBdr>
        <w:spacing w:after="0"/>
      </w:pPr>
      <w:r>
        <w:rPr>
          <w:rFonts w:ascii="Arial" w:hAnsi="Arial"/>
          <w:b/>
          <w:i/>
          <w:color w:val="5A5A5A"/>
          <w:sz w:val="18"/>
        </w:rPr>
        <w:t>Date limite de réception des offres :</w:t>
      </w:r>
    </w:p>
    <w:p w:rsidR="0085636E" w:rsidRDefault="006E4C7B">
      <w:pPr>
        <w:pBdr>
          <w:left w:val="none" w:sz="0" w:space="6" w:color="auto"/>
        </w:pBdr>
        <w:spacing w:after="0"/>
      </w:pPr>
      <w:r>
        <w:rPr>
          <w:rFonts w:ascii="Arial" w:hAnsi="Arial"/>
          <w:color w:val="434343"/>
          <w:sz w:val="18"/>
        </w:rPr>
        <w:t>15-05-2019</w:t>
      </w:r>
      <w:r>
        <w:rPr>
          <w:rFonts w:ascii="Arial" w:hAnsi="Arial"/>
          <w:color w:val="434343"/>
          <w:sz w:val="18"/>
        </w:rPr>
        <w:t xml:space="preserve">  (12:00) </w:t>
      </w:r>
    </w:p>
    <w:p w:rsidR="0085636E" w:rsidRDefault="006E4C7B">
      <w:pPr>
        <w:pBdr>
          <w:left w:val="none" w:sz="0" w:space="19" w:color="auto"/>
        </w:pBdr>
        <w:spacing w:after="0"/>
      </w:pPr>
      <w:r>
        <w:rPr>
          <w:rFonts w:ascii="Arial" w:hAnsi="Arial"/>
          <w:b/>
          <w:i/>
          <w:color w:val="5A5A5A"/>
          <w:sz w:val="18"/>
        </w:rPr>
        <w:t>Délai de validité des offres :</w:t>
      </w:r>
    </w:p>
    <w:p w:rsidR="0085636E" w:rsidRDefault="006E4C7B">
      <w:pPr>
        <w:pBdr>
          <w:left w:val="none" w:sz="0" w:space="6" w:color="auto"/>
        </w:pBdr>
        <w:spacing w:after="0"/>
      </w:pPr>
      <w:r>
        <w:rPr>
          <w:rFonts w:ascii="Arial" w:hAnsi="Arial"/>
          <w:color w:val="434343"/>
          <w:sz w:val="18"/>
        </w:rPr>
        <w:t xml:space="preserve">120 jours à compter de la date limite de réception des offres. </w:t>
      </w:r>
    </w:p>
    <w:p w:rsidR="0085636E" w:rsidRDefault="006E4C7B">
      <w:pPr>
        <w:pBdr>
          <w:left w:val="none" w:sz="0" w:space="19" w:color="auto"/>
        </w:pBdr>
        <w:spacing w:after="0"/>
      </w:pPr>
      <w:r>
        <w:rPr>
          <w:rFonts w:ascii="Arial" w:hAnsi="Arial"/>
          <w:b/>
          <w:i/>
          <w:color w:val="5A5A5A"/>
          <w:sz w:val="18"/>
        </w:rPr>
        <w:t>Numéro de référence attribué au marché par le pouvoir adjudicateur / l'entité adjudicatrice :</w:t>
      </w:r>
    </w:p>
    <w:p w:rsidR="0085636E" w:rsidRDefault="006E4C7B">
      <w:pPr>
        <w:pBdr>
          <w:left w:val="none" w:sz="0" w:space="6" w:color="auto"/>
        </w:pBdr>
        <w:spacing w:after="0"/>
      </w:pPr>
      <w:r>
        <w:rPr>
          <w:rFonts w:ascii="Arial" w:hAnsi="Arial"/>
          <w:color w:val="434343"/>
          <w:sz w:val="18"/>
        </w:rPr>
        <w:t>VILMI19F03/BO.</w:t>
      </w:r>
    </w:p>
    <w:p w:rsidR="0085636E" w:rsidRDefault="006E4C7B">
      <w:pPr>
        <w:pBdr>
          <w:left w:val="none" w:sz="0" w:space="19" w:color="auto"/>
        </w:pBdr>
        <w:spacing w:after="0"/>
      </w:pPr>
      <w:r>
        <w:rPr>
          <w:rFonts w:ascii="Arial" w:hAnsi="Arial"/>
          <w:b/>
          <w:i/>
          <w:color w:val="5A5A5A"/>
          <w:sz w:val="18"/>
        </w:rPr>
        <w:t>Renseignements complémentaires :</w:t>
      </w:r>
    </w:p>
    <w:p w:rsidR="0085636E" w:rsidRDefault="006E4C7B">
      <w:pPr>
        <w:pBdr>
          <w:left w:val="none" w:sz="0" w:space="6" w:color="auto"/>
        </w:pBdr>
        <w:spacing w:after="0"/>
      </w:pPr>
      <w:r>
        <w:rPr>
          <w:rFonts w:ascii="Arial" w:hAnsi="Arial"/>
          <w:color w:val="434343"/>
          <w:sz w:val="18"/>
        </w:rPr>
        <w:t xml:space="preserve">La </w:t>
      </w:r>
      <w:r>
        <w:rPr>
          <w:rFonts w:ascii="Arial" w:hAnsi="Arial"/>
          <w:color w:val="434343"/>
          <w:sz w:val="18"/>
        </w:rPr>
        <w:t>transmission des documents par voie électronique est effectuée sur le profil d'acheteur. Les modalités de transmission des plis par voie électronique sont définies dans le règlement de la consultation. Numéro de la consultation : VILMI19F03</w:t>
      </w:r>
    </w:p>
    <w:p w:rsidR="0085636E" w:rsidRDefault="006E4C7B">
      <w:pPr>
        <w:pBdr>
          <w:left w:val="none" w:sz="0" w:space="19" w:color="auto"/>
        </w:pBdr>
        <w:spacing w:after="0"/>
      </w:pPr>
      <w:r>
        <w:rPr>
          <w:rFonts w:ascii="Arial" w:hAnsi="Arial"/>
          <w:b/>
          <w:i/>
          <w:color w:val="5A5A5A"/>
          <w:sz w:val="18"/>
        </w:rPr>
        <w:t>Conditions de r</w:t>
      </w:r>
      <w:r>
        <w:rPr>
          <w:rFonts w:ascii="Arial" w:hAnsi="Arial"/>
          <w:b/>
          <w:i/>
          <w:color w:val="5A5A5A"/>
          <w:sz w:val="18"/>
        </w:rPr>
        <w:t>emise des offres ou des candidatures :</w:t>
      </w:r>
    </w:p>
    <w:p w:rsidR="0085636E" w:rsidRDefault="006E4C7B">
      <w:pPr>
        <w:pBdr>
          <w:left w:val="none" w:sz="0" w:space="6" w:color="auto"/>
        </w:pBdr>
        <w:spacing w:after="0"/>
      </w:pPr>
      <w:r>
        <w:rPr>
          <w:rFonts w:ascii="Arial" w:hAnsi="Arial"/>
          <w:color w:val="434343"/>
          <w:sz w:val="18"/>
        </w:rPr>
        <w:t>La candidature est présentée soit sous la forme des formulaires DC1 et DC2 (disponibles gratuitement sur le site www.economie.gouv.fr.), soit sous la forme d'un Document Unique de Marché Européen (DUME). La transmissi</w:t>
      </w:r>
      <w:r>
        <w:rPr>
          <w:rFonts w:ascii="Arial" w:hAnsi="Arial"/>
          <w:color w:val="434343"/>
          <w:sz w:val="18"/>
        </w:rPr>
        <w:t>on des plis par voie électronique est imposée pour cette consultation. Par conséquent, la transmission par voie papier n'est pas autorisée.</w:t>
      </w:r>
    </w:p>
    <w:p w:rsidR="0085636E" w:rsidRDefault="006E4C7B">
      <w:pPr>
        <w:pBdr>
          <w:left w:val="none" w:sz="0" w:space="19" w:color="auto"/>
        </w:pBdr>
        <w:spacing w:after="0"/>
      </w:pPr>
      <w:r>
        <w:rPr>
          <w:rFonts w:ascii="Arial" w:hAnsi="Arial"/>
          <w:b/>
          <w:i/>
          <w:color w:val="5A5A5A"/>
          <w:sz w:val="18"/>
        </w:rPr>
        <w:t>Date d'envoi du présent avis à la publication :</w:t>
      </w:r>
    </w:p>
    <w:p w:rsidR="0085636E" w:rsidRDefault="006E4C7B">
      <w:pPr>
        <w:pBdr>
          <w:left w:val="none" w:sz="0" w:space="6" w:color="auto"/>
        </w:pBdr>
        <w:spacing w:after="0"/>
      </w:pPr>
      <w:r>
        <w:rPr>
          <w:rFonts w:ascii="Arial" w:hAnsi="Arial"/>
          <w:color w:val="434343"/>
          <w:sz w:val="18"/>
        </w:rPr>
        <w:t>16-04-2019</w:t>
      </w:r>
    </w:p>
    <w:p w:rsidR="0085636E" w:rsidRDefault="006E4C7B">
      <w:pPr>
        <w:pBdr>
          <w:left w:val="none" w:sz="0" w:space="19" w:color="auto"/>
        </w:pBdr>
        <w:spacing w:after="0"/>
      </w:pPr>
      <w:r>
        <w:rPr>
          <w:rFonts w:ascii="Arial" w:hAnsi="Arial"/>
          <w:b/>
          <w:i/>
          <w:color w:val="5A5A5A"/>
          <w:sz w:val="18"/>
        </w:rPr>
        <w:t>Adresse à laquelle les offres/candidatures/projets/demand</w:t>
      </w:r>
      <w:r>
        <w:rPr>
          <w:rFonts w:ascii="Arial" w:hAnsi="Arial"/>
          <w:b/>
          <w:i/>
          <w:color w:val="5A5A5A"/>
          <w:sz w:val="18"/>
        </w:rPr>
        <w:t>es de participation doivent être envoyés :</w:t>
      </w:r>
    </w:p>
    <w:p w:rsidR="0085636E" w:rsidRDefault="006E4C7B">
      <w:pPr>
        <w:pBdr>
          <w:left w:val="none" w:sz="0" w:space="6" w:color="auto"/>
        </w:pBdr>
        <w:spacing w:after="0"/>
      </w:pPr>
      <w:r>
        <w:rPr>
          <w:rFonts w:ascii="Arial" w:hAnsi="Arial"/>
          <w:color w:val="434343"/>
          <w:sz w:val="18"/>
        </w:rPr>
        <w:t>Adresse internet : http://ville-manosque.marcoweb.fr</w:t>
      </w:r>
    </w:p>
    <w:p w:rsidR="0085636E" w:rsidRDefault="006E4C7B">
      <w:pPr>
        <w:pBdr>
          <w:left w:val="none" w:sz="0" w:space="19" w:color="auto"/>
        </w:pBdr>
        <w:spacing w:after="0"/>
      </w:pPr>
      <w:r>
        <w:rPr>
          <w:rFonts w:ascii="Arial" w:hAnsi="Arial"/>
          <w:b/>
          <w:i/>
          <w:color w:val="5A5A5A"/>
          <w:sz w:val="18"/>
        </w:rPr>
        <w:t>Adresse auprès de laquelle des renseignements complémentaires peuvent être obtenus :</w:t>
      </w:r>
    </w:p>
    <w:p w:rsidR="0085636E" w:rsidRDefault="006E4C7B">
      <w:pPr>
        <w:pBdr>
          <w:left w:val="none" w:sz="0" w:space="6" w:color="auto"/>
        </w:pBdr>
        <w:spacing w:after="0"/>
      </w:pPr>
      <w:r>
        <w:rPr>
          <w:rFonts w:ascii="Arial" w:hAnsi="Arial"/>
          <w:color w:val="434343"/>
          <w:sz w:val="18"/>
        </w:rPr>
        <w:t>Adresse internet : http://ville-manosque.marcoweb.fr</w:t>
      </w:r>
    </w:p>
    <w:p w:rsidR="0085636E" w:rsidRDefault="006E4C7B">
      <w:pPr>
        <w:pBdr>
          <w:left w:val="none" w:sz="0" w:space="19" w:color="auto"/>
        </w:pBdr>
        <w:spacing w:after="0"/>
      </w:pPr>
      <w:r>
        <w:rPr>
          <w:rFonts w:ascii="Arial" w:hAnsi="Arial"/>
          <w:b/>
          <w:i/>
          <w:color w:val="5A5A5A"/>
          <w:sz w:val="18"/>
        </w:rPr>
        <w:t xml:space="preserve">Adresse auprès de </w:t>
      </w:r>
      <w:r>
        <w:rPr>
          <w:rFonts w:ascii="Arial" w:hAnsi="Arial"/>
          <w:b/>
          <w:i/>
          <w:color w:val="5A5A5A"/>
          <w:sz w:val="18"/>
        </w:rPr>
        <w:t>laquelle les documents peuvent être obtenus :</w:t>
      </w:r>
    </w:p>
    <w:p w:rsidR="0085636E" w:rsidRDefault="006E4C7B">
      <w:pPr>
        <w:pBdr>
          <w:left w:val="none" w:sz="0" w:space="6" w:color="auto"/>
        </w:pBdr>
        <w:spacing w:after="0"/>
      </w:pPr>
      <w:r>
        <w:rPr>
          <w:rFonts w:ascii="Arial" w:hAnsi="Arial"/>
          <w:color w:val="434343"/>
          <w:sz w:val="18"/>
        </w:rPr>
        <w:t>Adresse internet : http://ville-manosque.marcoweb.fr</w:t>
      </w:r>
    </w:p>
    <w:p w:rsidR="0085636E" w:rsidRDefault="006E4C7B">
      <w:pPr>
        <w:pBdr>
          <w:left w:val="none" w:sz="0" w:space="19" w:color="auto"/>
        </w:pBdr>
        <w:spacing w:after="0"/>
      </w:pPr>
      <w:r>
        <w:rPr>
          <w:rFonts w:ascii="Arial" w:hAnsi="Arial"/>
          <w:b/>
          <w:i/>
          <w:color w:val="5A5A5A"/>
          <w:sz w:val="18"/>
        </w:rPr>
        <w:t>Instance chargée des procédures de recours :</w:t>
      </w:r>
    </w:p>
    <w:p w:rsidR="0085636E" w:rsidRDefault="006E4C7B">
      <w:pPr>
        <w:pBdr>
          <w:left w:val="none" w:sz="0" w:space="6" w:color="auto"/>
        </w:pBdr>
        <w:spacing w:after="0"/>
      </w:pPr>
      <w:r>
        <w:rPr>
          <w:rFonts w:ascii="Arial" w:hAnsi="Arial"/>
          <w:color w:val="434343"/>
          <w:sz w:val="18"/>
        </w:rPr>
        <w:t xml:space="preserve">Tribunal Administratif de Marseille. 22, Rue </w:t>
      </w:r>
      <w:proofErr w:type="gramStart"/>
      <w:r>
        <w:rPr>
          <w:rFonts w:ascii="Arial" w:hAnsi="Arial"/>
          <w:color w:val="434343"/>
          <w:sz w:val="18"/>
        </w:rPr>
        <w:t>Breteuil ,</w:t>
      </w:r>
      <w:proofErr w:type="gramEnd"/>
      <w:r>
        <w:rPr>
          <w:rFonts w:ascii="Arial" w:hAnsi="Arial"/>
          <w:color w:val="434343"/>
          <w:sz w:val="18"/>
        </w:rPr>
        <w:t xml:space="preserve"> 13281 MARSEILLE , Cedex 06</w:t>
      </w:r>
    </w:p>
    <w:p w:rsidR="0085636E" w:rsidRDefault="006E4C7B">
      <w:pPr>
        <w:pBdr>
          <w:left w:val="none" w:sz="0" w:space="19" w:color="auto"/>
        </w:pBdr>
        <w:spacing w:after="0"/>
      </w:pPr>
      <w:r>
        <w:rPr>
          <w:rFonts w:ascii="Arial" w:hAnsi="Arial"/>
          <w:b/>
          <w:i/>
          <w:color w:val="5A5A5A"/>
          <w:sz w:val="18"/>
        </w:rPr>
        <w:t>Service auprès duquel des ren</w:t>
      </w:r>
      <w:r>
        <w:rPr>
          <w:rFonts w:ascii="Arial" w:hAnsi="Arial"/>
          <w:b/>
          <w:i/>
          <w:color w:val="5A5A5A"/>
          <w:sz w:val="18"/>
        </w:rPr>
        <w:t>seignements peuvent être obtenus concernant l'introduction des recours :</w:t>
      </w:r>
    </w:p>
    <w:p w:rsidR="0085636E" w:rsidRDefault="006E4C7B">
      <w:pPr>
        <w:pBdr>
          <w:left w:val="none" w:sz="0" w:space="6" w:color="auto"/>
        </w:pBdr>
        <w:spacing w:after="0"/>
      </w:pPr>
      <w:r>
        <w:rPr>
          <w:rFonts w:ascii="Arial" w:hAnsi="Arial"/>
          <w:color w:val="434343"/>
          <w:sz w:val="18"/>
        </w:rPr>
        <w:t xml:space="preserve">Greffe du Tribunal Administratif de Marseille. 22, Rue </w:t>
      </w:r>
      <w:proofErr w:type="gramStart"/>
      <w:r>
        <w:rPr>
          <w:rFonts w:ascii="Arial" w:hAnsi="Arial"/>
          <w:color w:val="434343"/>
          <w:sz w:val="18"/>
        </w:rPr>
        <w:t>Breteuil ,</w:t>
      </w:r>
      <w:proofErr w:type="gramEnd"/>
      <w:r>
        <w:rPr>
          <w:rFonts w:ascii="Arial" w:hAnsi="Arial"/>
          <w:color w:val="434343"/>
          <w:sz w:val="18"/>
        </w:rPr>
        <w:t xml:space="preserve"> 13281 MARSEILLE , Cedex 06</w:t>
      </w:r>
    </w:p>
    <w:p w:rsidR="0085636E" w:rsidRDefault="006E4C7B">
      <w:r>
        <w:pict>
          <v:rect id="_x0000_i1027" style="width:0;height:1.5pt" o:hralign="center" o:hrstd="t" o:hr="t" fillcolor="#a0a0a0" stroked="f"/>
        </w:pict>
      </w:r>
    </w:p>
    <w:p w:rsidR="0085636E" w:rsidRDefault="006E4C7B">
      <w:pPr>
        <w:spacing w:after="0"/>
      </w:pPr>
      <w:r>
        <w:rPr>
          <w:rFonts w:ascii="Arial" w:hAnsi="Arial"/>
          <w:b/>
          <w:color w:val="434343"/>
          <w:sz w:val="18"/>
        </w:rPr>
        <w:t>Eléments de facturation</w:t>
      </w:r>
    </w:p>
    <w:p w:rsidR="0085636E" w:rsidRDefault="0085636E">
      <w:pPr>
        <w:spacing w:after="0"/>
      </w:pPr>
    </w:p>
    <w:p w:rsidR="0085636E" w:rsidRDefault="006E4C7B">
      <w:pPr>
        <w:spacing w:after="0"/>
      </w:pPr>
      <w:r>
        <w:rPr>
          <w:rFonts w:ascii="Arial" w:hAnsi="Arial"/>
          <w:color w:val="434343"/>
          <w:sz w:val="18"/>
        </w:rPr>
        <w:t xml:space="preserve">Votre référence de commande au BOAMP : </w:t>
      </w:r>
      <w:r>
        <w:rPr>
          <w:rFonts w:ascii="Arial" w:hAnsi="Arial"/>
          <w:b/>
          <w:color w:val="434343"/>
          <w:sz w:val="18"/>
        </w:rPr>
        <w:t>VILMI19F03</w:t>
      </w:r>
      <w:r>
        <w:br/>
      </w:r>
      <w:r>
        <w:rPr>
          <w:rFonts w:ascii="Arial" w:hAnsi="Arial"/>
          <w:color w:val="434343"/>
          <w:sz w:val="18"/>
        </w:rPr>
        <w:t>Ville de Mano</w:t>
      </w:r>
      <w:r>
        <w:rPr>
          <w:rFonts w:ascii="Arial" w:hAnsi="Arial"/>
          <w:color w:val="434343"/>
          <w:sz w:val="18"/>
        </w:rPr>
        <w:t>sque  </w:t>
      </w:r>
      <w:proofErr w:type="spellStart"/>
      <w:r>
        <w:rPr>
          <w:rFonts w:ascii="Arial" w:hAnsi="Arial"/>
          <w:color w:val="434343"/>
          <w:sz w:val="18"/>
        </w:rPr>
        <w:t>null</w:t>
      </w:r>
      <w:proofErr w:type="spellEnd"/>
      <w:r>
        <w:rPr>
          <w:rFonts w:ascii="Arial" w:hAnsi="Arial"/>
          <w:color w:val="434343"/>
          <w:sz w:val="18"/>
        </w:rPr>
        <w:t xml:space="preserve"> de l'Hôtel de Ville   , 04100 MANOSQUE </w:t>
      </w:r>
    </w:p>
    <w:p w:rsidR="0085636E" w:rsidRDefault="006E4C7B">
      <w:pPr>
        <w:spacing w:after="0"/>
      </w:pPr>
      <w:r>
        <w:rPr>
          <w:rFonts w:ascii="Arial" w:hAnsi="Arial"/>
          <w:color w:val="434343"/>
          <w:sz w:val="18"/>
        </w:rPr>
        <w:t>Siret : 21040112100012</w:t>
      </w:r>
    </w:p>
    <w:p w:rsidR="0085636E" w:rsidRDefault="006E4C7B">
      <w:pPr>
        <w:spacing w:after="0"/>
      </w:pPr>
      <w:r>
        <w:rPr>
          <w:rFonts w:ascii="Arial" w:hAnsi="Arial"/>
          <w:color w:val="434343"/>
          <w:sz w:val="18"/>
        </w:rPr>
        <w:t>Classe de profil : Commune.</w:t>
      </w:r>
    </w:p>
    <w:p w:rsidR="0085636E" w:rsidRDefault="006E4C7B">
      <w:r>
        <w:pict>
          <v:rect id="_x0000_i1028" style="width:0;height:1.5pt" o:hralign="center" o:hrstd="t" o:hr="t" fillcolor="#a0a0a0" stroked="f"/>
        </w:pict>
      </w:r>
    </w:p>
    <w:sectPr w:rsidR="0085636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6E"/>
    <w:rsid w:val="006E4C7B"/>
    <w:rsid w:val="008563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F81BD"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000FF"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F81BD"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000FF"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lle-manosque.marcoweb.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lle-manosque.fr" TargetMode="External"/><Relationship Id="rId5" Type="http://schemas.openxmlformats.org/officeDocument/2006/relationships/hyperlink" Target="file:///C:\Users\jdufour\Downloads\maire@ville-manosque.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4381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DUFOUR</dc:creator>
  <cp:lastModifiedBy>JULIETTE DUFOUR</cp:lastModifiedBy>
  <cp:revision>2</cp:revision>
  <dcterms:created xsi:type="dcterms:W3CDTF">2019-04-16T09:37:00Z</dcterms:created>
  <dcterms:modified xsi:type="dcterms:W3CDTF">2019-04-16T09:37:00Z</dcterms:modified>
</cp:coreProperties>
</file>